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0"/>
          <w:szCs w:val="30"/>
        </w:rPr>
      </w:pPr>
      <w:r>
        <w:rPr>
          <w:rFonts w:hint="eastAsia"/>
          <w:b/>
          <w:bCs/>
          <w:sz w:val="30"/>
          <w:szCs w:val="30"/>
        </w:rPr>
        <w:t>潍坊房地产业协会集体采购平台成功举办第一期钢材集采招标</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0"/>
          <w:szCs w:val="30"/>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lang w:val="en-US" w:eastAsia="zh-CN"/>
        </w:rPr>
      </w:pPr>
      <w:r>
        <w:rPr>
          <w:rFonts w:hint="eastAsia"/>
          <w:sz w:val="28"/>
          <w:szCs w:val="28"/>
          <w:lang w:val="en-US" w:eastAsia="zh-CN"/>
        </w:rPr>
        <w:drawing>
          <wp:inline distT="0" distB="0" distL="114300" distR="114300">
            <wp:extent cx="5273040" cy="3954780"/>
            <wp:effectExtent l="0" t="0" r="0" b="7620"/>
            <wp:docPr id="1" name="图片 1" descr="36eac9d6c398d0c8f4c36f2513a0b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6eac9d6c398d0c8f4c36f2513a0bc8"/>
                    <pic:cNvPicPr>
                      <a:picLocks noChangeAspect="1"/>
                    </pic:cNvPicPr>
                  </pic:nvPicPr>
                  <pic:blipFill>
                    <a:blip r:embed="rId4"/>
                    <a:stretch>
                      <a:fillRect/>
                    </a:stretch>
                  </pic:blipFill>
                  <pic:spPr>
                    <a:xfrm>
                      <a:off x="0" y="0"/>
                      <a:ext cx="5273040" cy="395478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lang w:val="en-US" w:eastAsia="zh-CN"/>
        </w:rPr>
      </w:pPr>
      <w:r>
        <w:rPr>
          <w:rFonts w:hint="eastAsia"/>
          <w:sz w:val="28"/>
          <w:szCs w:val="28"/>
          <w:lang w:val="en-US" w:eastAsia="zh-CN"/>
        </w:rPr>
        <w:t>5月15日，潍坊房地产业协会集体采购平台在辰隆大酒店2202潍坊房协会议室成功举办第一期钢材集体采购招标竞标工作，竞标工作由潍坊房协集采平台运营总监刘凤祥同志主持。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lang w:val="en-US" w:eastAsia="zh-CN"/>
        </w:rPr>
      </w:pPr>
      <w:r>
        <w:rPr>
          <w:rFonts w:hint="eastAsia"/>
          <w:sz w:val="28"/>
          <w:szCs w:val="28"/>
          <w:lang w:val="en-US" w:eastAsia="zh-CN"/>
        </w:rPr>
        <w:t>此次竞标是潍坊房协集采平台成功上线后首次举办集采活动，潍坊大川置业有限公司 、潍坊恒信建设集团有限公司、潍坊金庆建设集团有限公司、潍坊科纳置业有限公司、 潍坊滨海置业有限公司、潍坊新大置业有限公司、山东鹏业建设集团有限公司七家开发企业积极参与了此次集体采购招标，集采建筑钢筋共29586.9吨，北京、济南和潍坊当地共11家单位成功报名应标，20多位开发企业招标负责人进行了竞标观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lang w:val="en-US" w:eastAsia="zh-CN"/>
        </w:rPr>
      </w:pPr>
      <w:r>
        <w:rPr>
          <w:rFonts w:hint="eastAsia"/>
          <w:sz w:val="28"/>
          <w:szCs w:val="28"/>
          <w:lang w:val="en-US" w:eastAsia="zh-CN"/>
        </w:rPr>
        <w:drawing>
          <wp:inline distT="0" distB="0" distL="114300" distR="114300">
            <wp:extent cx="5159375" cy="4279900"/>
            <wp:effectExtent l="0" t="0" r="6985" b="2540"/>
            <wp:docPr id="3" name="图片 2" descr="41a367be295e734f7406b218c7023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41a367be295e734f7406b218c7023b4"/>
                    <pic:cNvPicPr>
                      <a:picLocks noChangeAspect="1"/>
                    </pic:cNvPicPr>
                  </pic:nvPicPr>
                  <pic:blipFill>
                    <a:blip r:embed="rId5"/>
                    <a:srcRect l="2611" r="-336" b="29332"/>
                    <a:stretch>
                      <a:fillRect/>
                    </a:stretch>
                  </pic:blipFill>
                  <pic:spPr>
                    <a:xfrm>
                      <a:off x="0" y="0"/>
                      <a:ext cx="5159375" cy="42799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lang w:val="en-US" w:eastAsia="zh-CN"/>
        </w:rPr>
      </w:pPr>
      <w:r>
        <w:rPr>
          <w:rFonts w:hint="eastAsia"/>
          <w:sz w:val="28"/>
          <w:szCs w:val="28"/>
          <w:lang w:val="en-US" w:eastAsia="zh-CN"/>
        </w:rPr>
        <w:t>兰格钢铁网兰格云招标总监刘健向观摩成员详细介绍了竞标流程和方式。经过半小时近10轮竞标和5轮一分钟超时竞标的激烈角逐，山东茂乾经贸有限公司、济南益齐钢铁贸易有限公司和潍坊戴旭经贸有限公司脱颖而出，名列三甲。最高让利幅度下浮达311元/吨！</w:t>
      </w:r>
    </w:p>
    <w:tbl>
      <w:tblPr>
        <w:tblStyle w:val="2"/>
        <w:tblW w:w="8257" w:type="dxa"/>
        <w:tblInd w:w="0" w:type="dxa"/>
        <w:tblLayout w:type="fixed"/>
        <w:tblCellMar>
          <w:top w:w="0" w:type="dxa"/>
          <w:left w:w="0" w:type="dxa"/>
          <w:bottom w:w="0" w:type="dxa"/>
          <w:right w:w="0" w:type="dxa"/>
        </w:tblCellMar>
      </w:tblPr>
      <w:tblGrid>
        <w:gridCol w:w="781"/>
        <w:gridCol w:w="2075"/>
        <w:gridCol w:w="1201"/>
        <w:gridCol w:w="1308"/>
        <w:gridCol w:w="1452"/>
        <w:gridCol w:w="1440"/>
      </w:tblGrid>
      <w:tr>
        <w:tblPrEx>
          <w:tblLayout w:type="fixed"/>
          <w:tblCellMar>
            <w:top w:w="0" w:type="dxa"/>
            <w:left w:w="0" w:type="dxa"/>
            <w:bottom w:w="0" w:type="dxa"/>
            <w:right w:w="0" w:type="dxa"/>
          </w:tblCellMar>
        </w:tblPrEx>
        <w:trPr>
          <w:trHeight w:val="288" w:hRule="atLeast"/>
        </w:trPr>
        <w:tc>
          <w:tcPr>
            <w:tcW w:w="781"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07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5401"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此次竞标采购价格（工地价）</w:t>
            </w:r>
          </w:p>
        </w:tc>
      </w:tr>
      <w:tr>
        <w:tblPrEx>
          <w:tblLayout w:type="fixed"/>
          <w:tblCellMar>
            <w:top w:w="0" w:type="dxa"/>
            <w:left w:w="0" w:type="dxa"/>
            <w:bottom w:w="0" w:type="dxa"/>
            <w:right w:w="0" w:type="dxa"/>
          </w:tblCellMar>
        </w:tblPrEx>
        <w:trPr>
          <w:trHeight w:val="576" w:hRule="atLeast"/>
        </w:trPr>
        <w:tc>
          <w:tcPr>
            <w:tcW w:w="78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07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7天付款</w:t>
            </w:r>
          </w:p>
        </w:tc>
        <w:tc>
          <w:tcPr>
            <w:tcW w:w="13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15天付款</w:t>
            </w: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一个月付款</w:t>
            </w:r>
          </w:p>
        </w:tc>
        <w:tc>
          <w:tcPr>
            <w:tcW w:w="14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二个月付款</w:t>
            </w:r>
          </w:p>
        </w:tc>
      </w:tr>
      <w:tr>
        <w:tblPrEx>
          <w:tblLayout w:type="fixed"/>
          <w:tblCellMar>
            <w:top w:w="0" w:type="dxa"/>
            <w:left w:w="0" w:type="dxa"/>
            <w:bottom w:w="0" w:type="dxa"/>
            <w:right w:w="0" w:type="dxa"/>
          </w:tblCellMar>
        </w:tblPrEx>
        <w:trPr>
          <w:trHeight w:val="288" w:hRule="atLeast"/>
        </w:trPr>
        <w:tc>
          <w:tcPr>
            <w:tcW w:w="7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HRB400Eø6</w:t>
            </w:r>
          </w:p>
        </w:tc>
        <w:tc>
          <w:tcPr>
            <w:tcW w:w="12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4589</w:t>
            </w:r>
          </w:p>
        </w:tc>
        <w:tc>
          <w:tcPr>
            <w:tcW w:w="13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4640</w:t>
            </w: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4700</w:t>
            </w:r>
          </w:p>
        </w:tc>
        <w:tc>
          <w:tcPr>
            <w:tcW w:w="14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4700</w:t>
            </w:r>
          </w:p>
        </w:tc>
      </w:tr>
      <w:tr>
        <w:tblPrEx>
          <w:tblLayout w:type="fixed"/>
          <w:tblCellMar>
            <w:top w:w="0" w:type="dxa"/>
            <w:left w:w="0" w:type="dxa"/>
            <w:bottom w:w="0" w:type="dxa"/>
            <w:right w:w="0" w:type="dxa"/>
          </w:tblCellMar>
        </w:tblPrEx>
        <w:trPr>
          <w:trHeight w:val="288" w:hRule="atLeast"/>
        </w:trPr>
        <w:tc>
          <w:tcPr>
            <w:tcW w:w="7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HRB400Eø8</w:t>
            </w:r>
          </w:p>
        </w:tc>
        <w:tc>
          <w:tcPr>
            <w:tcW w:w="12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4089</w:t>
            </w:r>
          </w:p>
        </w:tc>
        <w:tc>
          <w:tcPr>
            <w:tcW w:w="13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4140</w:t>
            </w: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4200</w:t>
            </w:r>
          </w:p>
        </w:tc>
        <w:tc>
          <w:tcPr>
            <w:tcW w:w="14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4200</w:t>
            </w:r>
          </w:p>
        </w:tc>
      </w:tr>
      <w:tr>
        <w:tblPrEx>
          <w:tblLayout w:type="fixed"/>
          <w:tblCellMar>
            <w:top w:w="0" w:type="dxa"/>
            <w:left w:w="0" w:type="dxa"/>
            <w:bottom w:w="0" w:type="dxa"/>
            <w:right w:w="0" w:type="dxa"/>
          </w:tblCellMar>
        </w:tblPrEx>
        <w:trPr>
          <w:trHeight w:val="288" w:hRule="atLeast"/>
        </w:trPr>
        <w:tc>
          <w:tcPr>
            <w:tcW w:w="7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0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HRB400Eø10</w:t>
            </w:r>
          </w:p>
        </w:tc>
        <w:tc>
          <w:tcPr>
            <w:tcW w:w="12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4089</w:t>
            </w:r>
          </w:p>
        </w:tc>
        <w:tc>
          <w:tcPr>
            <w:tcW w:w="13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4140</w:t>
            </w: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4200</w:t>
            </w:r>
          </w:p>
        </w:tc>
        <w:tc>
          <w:tcPr>
            <w:tcW w:w="14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4200</w:t>
            </w:r>
          </w:p>
        </w:tc>
      </w:tr>
      <w:tr>
        <w:tblPrEx>
          <w:tblLayout w:type="fixed"/>
          <w:tblCellMar>
            <w:top w:w="0" w:type="dxa"/>
            <w:left w:w="0" w:type="dxa"/>
            <w:bottom w:w="0" w:type="dxa"/>
            <w:right w:w="0" w:type="dxa"/>
          </w:tblCellMar>
        </w:tblPrEx>
        <w:trPr>
          <w:trHeight w:val="288" w:hRule="atLeast"/>
        </w:trPr>
        <w:tc>
          <w:tcPr>
            <w:tcW w:w="7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0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HRB400E ø12</w:t>
            </w:r>
          </w:p>
        </w:tc>
        <w:tc>
          <w:tcPr>
            <w:tcW w:w="12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4189</w:t>
            </w:r>
          </w:p>
        </w:tc>
        <w:tc>
          <w:tcPr>
            <w:tcW w:w="13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4240</w:t>
            </w: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4300</w:t>
            </w:r>
          </w:p>
        </w:tc>
        <w:tc>
          <w:tcPr>
            <w:tcW w:w="14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4300</w:t>
            </w:r>
          </w:p>
        </w:tc>
      </w:tr>
      <w:tr>
        <w:tblPrEx>
          <w:tblLayout w:type="fixed"/>
          <w:tblCellMar>
            <w:top w:w="0" w:type="dxa"/>
            <w:left w:w="0" w:type="dxa"/>
            <w:bottom w:w="0" w:type="dxa"/>
            <w:right w:w="0" w:type="dxa"/>
          </w:tblCellMar>
        </w:tblPrEx>
        <w:trPr>
          <w:trHeight w:val="288" w:hRule="atLeast"/>
        </w:trPr>
        <w:tc>
          <w:tcPr>
            <w:tcW w:w="7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0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HRB400E ø14</w:t>
            </w:r>
          </w:p>
        </w:tc>
        <w:tc>
          <w:tcPr>
            <w:tcW w:w="12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4159</w:t>
            </w:r>
          </w:p>
        </w:tc>
        <w:tc>
          <w:tcPr>
            <w:tcW w:w="13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4210</w:t>
            </w: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4270</w:t>
            </w:r>
          </w:p>
        </w:tc>
        <w:tc>
          <w:tcPr>
            <w:tcW w:w="14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4270</w:t>
            </w:r>
          </w:p>
        </w:tc>
      </w:tr>
      <w:tr>
        <w:tblPrEx>
          <w:tblLayout w:type="fixed"/>
          <w:tblCellMar>
            <w:top w:w="0" w:type="dxa"/>
            <w:left w:w="0" w:type="dxa"/>
            <w:bottom w:w="0" w:type="dxa"/>
            <w:right w:w="0" w:type="dxa"/>
          </w:tblCellMar>
        </w:tblPrEx>
        <w:trPr>
          <w:trHeight w:val="288" w:hRule="atLeast"/>
        </w:trPr>
        <w:tc>
          <w:tcPr>
            <w:tcW w:w="7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0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HRB400E ø16</w:t>
            </w:r>
          </w:p>
        </w:tc>
        <w:tc>
          <w:tcPr>
            <w:tcW w:w="12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4159</w:t>
            </w:r>
          </w:p>
        </w:tc>
        <w:tc>
          <w:tcPr>
            <w:tcW w:w="13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4210</w:t>
            </w: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4270</w:t>
            </w:r>
          </w:p>
        </w:tc>
        <w:tc>
          <w:tcPr>
            <w:tcW w:w="14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4270</w:t>
            </w:r>
          </w:p>
        </w:tc>
      </w:tr>
      <w:tr>
        <w:tblPrEx>
          <w:tblLayout w:type="fixed"/>
          <w:tblCellMar>
            <w:top w:w="0" w:type="dxa"/>
            <w:left w:w="0" w:type="dxa"/>
            <w:bottom w:w="0" w:type="dxa"/>
            <w:right w:w="0" w:type="dxa"/>
          </w:tblCellMar>
        </w:tblPrEx>
        <w:trPr>
          <w:trHeight w:val="288" w:hRule="atLeast"/>
        </w:trPr>
        <w:tc>
          <w:tcPr>
            <w:tcW w:w="7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0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HRB400E ø18</w:t>
            </w:r>
          </w:p>
        </w:tc>
        <w:tc>
          <w:tcPr>
            <w:tcW w:w="12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4039</w:t>
            </w:r>
          </w:p>
        </w:tc>
        <w:tc>
          <w:tcPr>
            <w:tcW w:w="13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4090</w:t>
            </w: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4150</w:t>
            </w:r>
          </w:p>
        </w:tc>
        <w:tc>
          <w:tcPr>
            <w:tcW w:w="14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4150</w:t>
            </w:r>
          </w:p>
        </w:tc>
      </w:tr>
      <w:tr>
        <w:tblPrEx>
          <w:tblLayout w:type="fixed"/>
          <w:tblCellMar>
            <w:top w:w="0" w:type="dxa"/>
            <w:left w:w="0" w:type="dxa"/>
            <w:bottom w:w="0" w:type="dxa"/>
            <w:right w:w="0" w:type="dxa"/>
          </w:tblCellMar>
        </w:tblPrEx>
        <w:trPr>
          <w:trHeight w:val="288" w:hRule="atLeast"/>
        </w:trPr>
        <w:tc>
          <w:tcPr>
            <w:tcW w:w="7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0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HRB400E ø20</w:t>
            </w:r>
          </w:p>
        </w:tc>
        <w:tc>
          <w:tcPr>
            <w:tcW w:w="12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4039</w:t>
            </w:r>
          </w:p>
        </w:tc>
        <w:tc>
          <w:tcPr>
            <w:tcW w:w="13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4090</w:t>
            </w: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4150</w:t>
            </w:r>
          </w:p>
        </w:tc>
        <w:tc>
          <w:tcPr>
            <w:tcW w:w="14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4150</w:t>
            </w:r>
          </w:p>
        </w:tc>
      </w:tr>
      <w:tr>
        <w:tblPrEx>
          <w:tblLayout w:type="fixed"/>
          <w:tblCellMar>
            <w:top w:w="0" w:type="dxa"/>
            <w:left w:w="0" w:type="dxa"/>
            <w:bottom w:w="0" w:type="dxa"/>
            <w:right w:w="0" w:type="dxa"/>
          </w:tblCellMar>
        </w:tblPrEx>
        <w:trPr>
          <w:trHeight w:val="288" w:hRule="atLeast"/>
        </w:trPr>
        <w:tc>
          <w:tcPr>
            <w:tcW w:w="7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0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HRB400E Φ22</w:t>
            </w:r>
          </w:p>
        </w:tc>
        <w:tc>
          <w:tcPr>
            <w:tcW w:w="12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4039</w:t>
            </w:r>
          </w:p>
        </w:tc>
        <w:tc>
          <w:tcPr>
            <w:tcW w:w="13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4090</w:t>
            </w: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4150</w:t>
            </w:r>
          </w:p>
        </w:tc>
        <w:tc>
          <w:tcPr>
            <w:tcW w:w="14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4150</w:t>
            </w:r>
          </w:p>
        </w:tc>
      </w:tr>
      <w:tr>
        <w:tblPrEx>
          <w:tblLayout w:type="fixed"/>
          <w:tblCellMar>
            <w:top w:w="0" w:type="dxa"/>
            <w:left w:w="0" w:type="dxa"/>
            <w:bottom w:w="0" w:type="dxa"/>
            <w:right w:w="0" w:type="dxa"/>
          </w:tblCellMar>
        </w:tblPrEx>
        <w:trPr>
          <w:trHeight w:val="288" w:hRule="atLeast"/>
        </w:trPr>
        <w:tc>
          <w:tcPr>
            <w:tcW w:w="7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0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HRB400E Φ25 </w:t>
            </w:r>
          </w:p>
        </w:tc>
        <w:tc>
          <w:tcPr>
            <w:tcW w:w="12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4139</w:t>
            </w:r>
          </w:p>
        </w:tc>
        <w:tc>
          <w:tcPr>
            <w:tcW w:w="13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4190</w:t>
            </w: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4250</w:t>
            </w:r>
          </w:p>
        </w:tc>
        <w:tc>
          <w:tcPr>
            <w:tcW w:w="14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4250</w:t>
            </w:r>
          </w:p>
        </w:tc>
      </w:tr>
      <w:tr>
        <w:tblPrEx>
          <w:tblLayout w:type="fixed"/>
          <w:tblCellMar>
            <w:top w:w="0" w:type="dxa"/>
            <w:left w:w="0" w:type="dxa"/>
            <w:bottom w:w="0" w:type="dxa"/>
            <w:right w:w="0" w:type="dxa"/>
          </w:tblCellMar>
        </w:tblPrEx>
        <w:trPr>
          <w:trHeight w:val="288" w:hRule="atLeast"/>
        </w:trPr>
        <w:tc>
          <w:tcPr>
            <w:tcW w:w="7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0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HRB400E Φ28 </w:t>
            </w:r>
          </w:p>
        </w:tc>
        <w:tc>
          <w:tcPr>
            <w:tcW w:w="120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4239</w:t>
            </w:r>
          </w:p>
        </w:tc>
        <w:tc>
          <w:tcPr>
            <w:tcW w:w="13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4290</w:t>
            </w: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4350</w:t>
            </w:r>
          </w:p>
        </w:tc>
        <w:tc>
          <w:tcPr>
            <w:tcW w:w="14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4350</w:t>
            </w:r>
          </w:p>
        </w:tc>
      </w:tr>
      <w:tr>
        <w:tblPrEx>
          <w:tblLayout w:type="fixed"/>
          <w:tblCellMar>
            <w:top w:w="0" w:type="dxa"/>
            <w:left w:w="0" w:type="dxa"/>
            <w:bottom w:w="0" w:type="dxa"/>
            <w:right w:w="0" w:type="dxa"/>
          </w:tblCellMar>
        </w:tblPrEx>
        <w:trPr>
          <w:trHeight w:val="440" w:hRule="atLeast"/>
        </w:trPr>
        <w:tc>
          <w:tcPr>
            <w:tcW w:w="7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7476"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以5.15日</w:t>
            </w:r>
            <w:r>
              <w:rPr>
                <w:rFonts w:hint="eastAsia" w:ascii="宋体" w:hAnsi="宋体" w:cs="宋体"/>
                <w:i w:val="0"/>
                <w:color w:val="000000"/>
                <w:kern w:val="0"/>
                <w:sz w:val="24"/>
                <w:szCs w:val="24"/>
                <w:u w:val="none"/>
                <w:lang w:val="en-US" w:eastAsia="zh-CN" w:bidi="ar"/>
              </w:rPr>
              <w:t>兰格钢铁网工地价</w:t>
            </w:r>
            <w:r>
              <w:rPr>
                <w:rFonts w:hint="eastAsia" w:ascii="宋体" w:hAnsi="宋体" w:eastAsia="宋体" w:cs="宋体"/>
                <w:i w:val="0"/>
                <w:color w:val="000000"/>
                <w:kern w:val="0"/>
                <w:sz w:val="24"/>
                <w:szCs w:val="24"/>
                <w:u w:val="none"/>
                <w:lang w:val="en-US" w:eastAsia="zh-CN" w:bidi="ar"/>
              </w:rPr>
              <w:t>网价</w:t>
            </w:r>
            <w:r>
              <w:rPr>
                <w:rFonts w:hint="eastAsia" w:ascii="宋体" w:hAnsi="宋体" w:cs="宋体"/>
                <w:i w:val="0"/>
                <w:color w:val="000000"/>
                <w:kern w:val="0"/>
                <w:sz w:val="24"/>
                <w:szCs w:val="24"/>
                <w:u w:val="none"/>
                <w:lang w:val="en-US" w:eastAsia="zh-CN" w:bidi="ar"/>
              </w:rPr>
              <w:t>测算</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lang w:val="en-US" w:eastAsia="zh-CN"/>
        </w:rPr>
      </w:pPr>
      <w:r>
        <w:rPr>
          <w:rFonts w:hint="eastAsia"/>
          <w:sz w:val="28"/>
          <w:szCs w:val="28"/>
          <w:lang w:val="en-US" w:eastAsia="zh-CN"/>
        </w:rPr>
        <w:drawing>
          <wp:inline distT="0" distB="0" distL="114300" distR="114300">
            <wp:extent cx="5273040" cy="3954780"/>
            <wp:effectExtent l="0" t="0" r="0" b="7620"/>
            <wp:docPr id="2" name="图片 3" descr="c56a8d8f76b87335c079d29c6d0e6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56a8d8f76b87335c079d29c6d0e64d"/>
                    <pic:cNvPicPr>
                      <a:picLocks noChangeAspect="1"/>
                    </pic:cNvPicPr>
                  </pic:nvPicPr>
                  <pic:blipFill>
                    <a:blip r:embed="rId6"/>
                    <a:stretch>
                      <a:fillRect/>
                    </a:stretch>
                  </pic:blipFill>
                  <pic:spPr>
                    <a:xfrm>
                      <a:off x="0" y="0"/>
                      <a:ext cx="5273040" cy="395478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sz w:val="28"/>
          <w:szCs w:val="28"/>
          <w:lang w:val="en-US" w:eastAsia="zh-CN"/>
        </w:rPr>
      </w:pPr>
      <w:r>
        <w:rPr>
          <w:rFonts w:hint="eastAsia"/>
          <w:sz w:val="28"/>
          <w:szCs w:val="28"/>
          <w:lang w:val="en-US" w:eastAsia="zh-CN"/>
        </w:rPr>
        <w:t>竞标结束后，观摩团成员对竞标结果进行初步测算，一致认为竞标价格低于目前单一企业采购价格，部分企业甚至低于目前采购价格100元/吨以上，充分体现了集体采购的巨大优势。</w:t>
      </w:r>
    </w:p>
    <w:p>
      <w:pPr>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sz w:val="28"/>
          <w:szCs w:val="28"/>
          <w:lang w:val="en-US" w:eastAsia="zh-CN"/>
        </w:rPr>
      </w:pPr>
      <w:r>
        <w:rPr>
          <w:rFonts w:hint="eastAsia"/>
          <w:sz w:val="28"/>
          <w:szCs w:val="28"/>
          <w:lang w:val="en-US" w:eastAsia="zh-CN"/>
        </w:rPr>
        <w:t>集体采购通过规模优势，不仅能够让开发企业获得当地更加优质有实力的供应商资源，还能引进外地优势资源，同时得到实惠的价格。通过全流程线上报名、竞标的模式，可以最大程度减少采购环节，提高工作效率，杜绝采购腐败，节约供需双方业务成本。</w:t>
      </w:r>
    </w:p>
    <w:p>
      <w:pPr>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sz w:val="28"/>
          <w:szCs w:val="28"/>
          <w:lang w:val="en-US" w:eastAsia="zh-CN"/>
        </w:rPr>
      </w:pPr>
      <w:r>
        <w:rPr>
          <w:rFonts w:hint="eastAsia"/>
          <w:sz w:val="28"/>
          <w:szCs w:val="28"/>
          <w:lang w:val="en-US" w:eastAsia="zh-CN"/>
        </w:rPr>
        <w:t>潍坊房协集采平台作为供需双方沟通的开放式桥梁，将全力打造公开、公平、公正、透明的招采环境，为供需双方做好服务。也欢迎供需双方积极参与平台建设。</w:t>
      </w:r>
    </w:p>
    <w:p>
      <w:pPr>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sz w:val="28"/>
          <w:szCs w:val="28"/>
          <w:lang w:val="en-US" w:eastAsia="zh-CN"/>
        </w:rPr>
      </w:pPr>
      <w:r>
        <w:rPr>
          <w:rFonts w:hint="eastAsia"/>
          <w:sz w:val="28"/>
          <w:szCs w:val="28"/>
          <w:lang w:val="en-US" w:eastAsia="zh-CN"/>
        </w:rPr>
        <w:t>注册网址：</w:t>
      </w:r>
      <w:r>
        <w:rPr>
          <w:rFonts w:hint="eastAsia"/>
          <w:sz w:val="28"/>
          <w:szCs w:val="28"/>
          <w:lang w:val="en-US" w:eastAsia="zh-CN"/>
        </w:rPr>
        <w:fldChar w:fldCharType="begin"/>
      </w:r>
      <w:r>
        <w:rPr>
          <w:rFonts w:hint="eastAsia"/>
          <w:sz w:val="28"/>
          <w:szCs w:val="28"/>
          <w:lang w:val="en-US" w:eastAsia="zh-CN"/>
        </w:rPr>
        <w:instrText xml:space="preserve"> HYPERLINK "http://wffxjcpt.quanjing-vr.com/" </w:instrText>
      </w:r>
      <w:r>
        <w:rPr>
          <w:rFonts w:hint="eastAsia"/>
          <w:sz w:val="28"/>
          <w:szCs w:val="28"/>
          <w:lang w:val="en-US" w:eastAsia="zh-CN"/>
        </w:rPr>
        <w:fldChar w:fldCharType="separate"/>
      </w:r>
      <w:r>
        <w:rPr>
          <w:rStyle w:val="4"/>
          <w:rFonts w:hint="eastAsia"/>
          <w:sz w:val="28"/>
          <w:szCs w:val="28"/>
          <w:lang w:val="en-US" w:eastAsia="zh-CN"/>
        </w:rPr>
        <w:t>http://wffxjcpt.quanjing-vr.com/</w:t>
      </w:r>
      <w:r>
        <w:rPr>
          <w:rFonts w:hint="eastAsia"/>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561"/>
        <w:textAlignment w:val="auto"/>
        <w:rPr>
          <w:rFonts w:hint="eastAsia"/>
          <w:sz w:val="28"/>
          <w:szCs w:val="28"/>
          <w:lang w:val="en-US" w:eastAsia="zh-CN"/>
        </w:rPr>
      </w:pPr>
      <w:r>
        <w:rPr>
          <w:rFonts w:hint="eastAsia"/>
          <w:sz w:val="28"/>
          <w:szCs w:val="28"/>
          <w:lang w:val="en-US" w:eastAsia="zh-CN"/>
        </w:rPr>
        <w:t>咨询电话：</w:t>
      </w:r>
    </w:p>
    <w:p>
      <w:pPr>
        <w:keepNext w:val="0"/>
        <w:keepLines w:val="0"/>
        <w:pageBreakBefore w:val="0"/>
        <w:widowControl w:val="0"/>
        <w:kinsoku/>
        <w:wordWrap/>
        <w:overflowPunct/>
        <w:topLinePunct w:val="0"/>
        <w:autoSpaceDE/>
        <w:autoSpaceDN/>
        <w:bidi w:val="0"/>
        <w:adjustRightInd/>
        <w:snapToGrid/>
        <w:spacing w:line="500" w:lineRule="exact"/>
        <w:ind w:firstLine="1867" w:firstLineChars="667"/>
        <w:textAlignment w:val="auto"/>
        <w:rPr>
          <w:rFonts w:hint="eastAsia"/>
          <w:sz w:val="28"/>
          <w:szCs w:val="28"/>
          <w:lang w:val="en-US" w:eastAsia="zh-CN"/>
        </w:rPr>
      </w:pPr>
      <w:r>
        <w:rPr>
          <w:rFonts w:hint="eastAsia"/>
          <w:sz w:val="28"/>
          <w:szCs w:val="28"/>
          <w:lang w:val="en-US" w:eastAsia="zh-CN"/>
        </w:rPr>
        <w:t>刘凤祥：18615409829</w:t>
      </w:r>
    </w:p>
    <w:p>
      <w:pPr>
        <w:keepNext w:val="0"/>
        <w:keepLines w:val="0"/>
        <w:pageBreakBefore w:val="0"/>
        <w:widowControl w:val="0"/>
        <w:kinsoku/>
        <w:wordWrap/>
        <w:overflowPunct/>
        <w:topLinePunct w:val="0"/>
        <w:autoSpaceDE/>
        <w:autoSpaceDN/>
        <w:bidi w:val="0"/>
        <w:adjustRightInd/>
        <w:snapToGrid/>
        <w:spacing w:line="500" w:lineRule="exact"/>
        <w:ind w:firstLine="1867" w:firstLineChars="667"/>
        <w:textAlignment w:val="auto"/>
        <w:rPr>
          <w:rFonts w:hint="default"/>
          <w:sz w:val="28"/>
          <w:szCs w:val="28"/>
          <w:lang w:val="en-US" w:eastAsia="zh-CN"/>
        </w:rPr>
      </w:pPr>
      <w:r>
        <w:rPr>
          <w:rFonts w:hint="eastAsia"/>
          <w:sz w:val="28"/>
          <w:szCs w:val="28"/>
          <w:lang w:val="en-US" w:eastAsia="zh-CN"/>
        </w:rPr>
        <w:t>来海燕：13455658686</w:t>
      </w:r>
    </w:p>
    <w:p>
      <w:pPr>
        <w:keepNext w:val="0"/>
        <w:keepLines w:val="0"/>
        <w:pageBreakBefore w:val="0"/>
        <w:widowControl w:val="0"/>
        <w:kinsoku/>
        <w:wordWrap/>
        <w:overflowPunct/>
        <w:topLinePunct w:val="0"/>
        <w:autoSpaceDE/>
        <w:autoSpaceDN/>
        <w:bidi w:val="0"/>
        <w:adjustRightInd/>
        <w:snapToGrid/>
        <w:spacing w:line="500" w:lineRule="exact"/>
        <w:ind w:firstLine="1867" w:firstLineChars="667"/>
        <w:textAlignment w:val="auto"/>
      </w:pPr>
      <w:r>
        <w:rPr>
          <w:rFonts w:hint="eastAsia"/>
          <w:sz w:val="28"/>
          <w:szCs w:val="28"/>
          <w:lang w:val="en-US" w:eastAsia="zh-CN"/>
        </w:rPr>
        <w:t xml:space="preserve">由倩睿：18663666116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FB3650"/>
    <w:rsid w:val="04FB3650"/>
    <w:rsid w:val="76AC733C"/>
    <w:rsid w:val="7D3B0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2019-05-17T00:45:00Z</dcterms:created>
  <dc:creator>Administrator</dc:creator>
  <cp:lastModifiedBy>Administrator</cp:lastModifiedBy>
  <dcterms:modified xsi:type="dcterms:W3CDTF">2019-05-21T00:04:41Z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